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right"/>
        <w:rPr>
          <w:rFonts w:ascii="Nunito" w:cs="Nunito" w:eastAsia="Nunito" w:hAnsi="Nunito"/>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123825</wp:posOffset>
            </wp:positionV>
            <wp:extent cx="2033588" cy="2602736"/>
            <wp:effectExtent b="0" l="0" r="0" t="0"/>
            <wp:wrapSquare wrapText="bothSides" distB="114300" distT="114300" distL="114300" distR="11430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2033588" cy="2602736"/>
                    </a:xfrm>
                    <a:prstGeom prst="rect"/>
                    <a:ln/>
                  </pic:spPr>
                </pic:pic>
              </a:graphicData>
            </a:graphic>
          </wp:anchor>
        </w:drawing>
      </w:r>
    </w:p>
    <w:p w:rsidR="00000000" w:rsidDel="00000000" w:rsidP="00000000" w:rsidRDefault="00000000" w:rsidRPr="00000000" w14:paraId="00000002">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3">
      <w:pP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4">
      <w:pPr>
        <w:jc w:val="center"/>
        <w:rPr>
          <w:rFonts w:ascii="Nunito" w:cs="Nunito" w:eastAsia="Nunito" w:hAnsi="Nunito"/>
          <w:sz w:val="20"/>
          <w:szCs w:val="20"/>
        </w:rPr>
      </w:pPr>
      <w:r w:rsidDel="00000000" w:rsidR="00000000" w:rsidRPr="00000000">
        <w:rPr>
          <w:rtl w:val="0"/>
        </w:rPr>
      </w:r>
    </w:p>
    <w:p w:rsidR="00000000" w:rsidDel="00000000" w:rsidP="00000000" w:rsidRDefault="00000000" w:rsidRPr="00000000" w14:paraId="00000005">
      <w:pPr>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6">
      <w:pPr>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7">
      <w:pPr>
        <w:rPr>
          <w:rFonts w:ascii="Nunito" w:cs="Nunito" w:eastAsia="Nunito" w:hAnsi="Nunito"/>
          <w:b w:val="1"/>
          <w:sz w:val="20"/>
          <w:szCs w:val="20"/>
        </w:rPr>
      </w:pPr>
      <w:r w:rsidDel="00000000" w:rsidR="00000000" w:rsidRPr="00000000">
        <w:rPr>
          <w:rtl w:val="0"/>
        </w:rPr>
      </w:r>
    </w:p>
    <w:p w:rsidR="00000000" w:rsidDel="00000000" w:rsidP="00000000" w:rsidRDefault="00000000" w:rsidRPr="00000000" w14:paraId="00000008">
      <w:pPr>
        <w:rPr>
          <w:rFonts w:ascii="Nunito" w:cs="Nunito" w:eastAsia="Nunito" w:hAnsi="Nunito"/>
          <w:b w:val="1"/>
          <w:sz w:val="20"/>
          <w:szCs w:val="20"/>
        </w:rPr>
      </w:pPr>
      <w:r w:rsidDel="00000000" w:rsidR="00000000" w:rsidRPr="00000000">
        <w:rPr>
          <w:rFonts w:ascii="Nunito" w:cs="Nunito" w:eastAsia="Nunito" w:hAnsi="Nunito"/>
          <w:b w:val="1"/>
          <w:sz w:val="20"/>
          <w:szCs w:val="20"/>
          <w:rtl w:val="0"/>
        </w:rPr>
        <w:t xml:space="preserve">Neeru Mehta</w:t>
      </w:r>
    </w:p>
    <w:p w:rsidR="00000000" w:rsidDel="00000000" w:rsidP="00000000" w:rsidRDefault="00000000" w:rsidRPr="00000000" w14:paraId="00000009">
      <w:pPr>
        <w:rPr>
          <w:rFonts w:ascii="Nunito" w:cs="Nunito" w:eastAsia="Nunito" w:hAnsi="Nunito"/>
          <w:sz w:val="20"/>
          <w:szCs w:val="20"/>
        </w:rPr>
      </w:pPr>
      <w:r w:rsidDel="00000000" w:rsidR="00000000" w:rsidRPr="00000000">
        <w:rPr>
          <w:rFonts w:ascii="Nunito" w:cs="Nunito" w:eastAsia="Nunito" w:hAnsi="Nunito"/>
          <w:sz w:val="20"/>
          <w:szCs w:val="20"/>
          <w:rtl w:val="0"/>
        </w:rPr>
        <w:t xml:space="preserve">CHRO, Yellow.ai</w:t>
      </w:r>
    </w:p>
    <w:p w:rsidR="00000000" w:rsidDel="00000000" w:rsidP="00000000" w:rsidRDefault="00000000" w:rsidRPr="00000000" w14:paraId="0000000A">
      <w:pPr>
        <w:shd w:fill="ffffff" w:val="clear"/>
        <w:jc w:val="both"/>
        <w:rPr>
          <w:rFonts w:ascii="Nunito" w:cs="Nunito" w:eastAsia="Nunito" w:hAnsi="Nunito"/>
          <w:color w:val="222222"/>
          <w:sz w:val="20"/>
          <w:szCs w:val="20"/>
        </w:rPr>
      </w:pPr>
      <w:r w:rsidDel="00000000" w:rsidR="00000000" w:rsidRPr="00000000">
        <w:rPr>
          <w:rFonts w:ascii="Nunito" w:cs="Nunito" w:eastAsia="Nunito" w:hAnsi="Nunito"/>
          <w:color w:val="222222"/>
          <w:sz w:val="20"/>
          <w:szCs w:val="20"/>
          <w:rtl w:val="0"/>
        </w:rPr>
        <w:t xml:space="preserve">neeru.mehta@yellow.ai </w:t>
      </w:r>
    </w:p>
    <w:p w:rsidR="00000000" w:rsidDel="00000000" w:rsidP="00000000" w:rsidRDefault="00000000" w:rsidRPr="00000000" w14:paraId="0000000B">
      <w:pPr>
        <w:shd w:fill="ffffff" w:val="clear"/>
        <w:jc w:val="both"/>
        <w:rPr>
          <w:rFonts w:ascii="Nunito" w:cs="Nunito" w:eastAsia="Nunito" w:hAnsi="Nunito"/>
          <w:color w:val="222222"/>
          <w:sz w:val="20"/>
          <w:szCs w:val="20"/>
        </w:rPr>
      </w:pPr>
      <w:r w:rsidDel="00000000" w:rsidR="00000000" w:rsidRPr="00000000">
        <w:rPr>
          <w:rtl w:val="0"/>
        </w:rPr>
      </w:r>
    </w:p>
    <w:p w:rsidR="00000000" w:rsidDel="00000000" w:rsidP="00000000" w:rsidRDefault="00000000" w:rsidRPr="00000000" w14:paraId="0000000C">
      <w:pPr>
        <w:jc w:val="both"/>
        <w:rPr>
          <w:rFonts w:ascii="Nunito" w:cs="Nunito" w:eastAsia="Nunito" w:hAnsi="Nunito"/>
          <w:color w:val="222222"/>
          <w:sz w:val="20"/>
          <w:szCs w:val="20"/>
        </w:rPr>
      </w:pPr>
      <w:r w:rsidDel="00000000" w:rsidR="00000000" w:rsidRPr="00000000">
        <w:rPr>
          <w:rtl w:val="0"/>
        </w:rPr>
      </w:r>
    </w:p>
    <w:p w:rsidR="00000000" w:rsidDel="00000000" w:rsidP="00000000" w:rsidRDefault="00000000" w:rsidRPr="00000000" w14:paraId="0000000D">
      <w:pPr>
        <w:jc w:val="both"/>
        <w:rPr>
          <w:rFonts w:ascii="Nunito" w:cs="Nunito" w:eastAsia="Nunito" w:hAnsi="Nunito"/>
          <w:color w:val="222222"/>
          <w:sz w:val="20"/>
          <w:szCs w:val="20"/>
        </w:rPr>
      </w:pPr>
      <w:r w:rsidDel="00000000" w:rsidR="00000000" w:rsidRPr="00000000">
        <w:rPr>
          <w:rtl w:val="0"/>
        </w:rPr>
      </w:r>
    </w:p>
    <w:p w:rsidR="00000000" w:rsidDel="00000000" w:rsidP="00000000" w:rsidRDefault="00000000" w:rsidRPr="00000000" w14:paraId="0000000E">
      <w:pPr>
        <w:jc w:val="both"/>
        <w:rPr>
          <w:rFonts w:ascii="Nunito" w:cs="Nunito" w:eastAsia="Nunito" w:hAnsi="Nunito"/>
          <w:color w:val="222222"/>
          <w:sz w:val="20"/>
          <w:szCs w:val="20"/>
        </w:rPr>
      </w:pPr>
      <w:r w:rsidDel="00000000" w:rsidR="00000000" w:rsidRPr="00000000">
        <w:rPr>
          <w:rtl w:val="0"/>
        </w:rPr>
      </w:r>
    </w:p>
    <w:p w:rsidR="00000000" w:rsidDel="00000000" w:rsidP="00000000" w:rsidRDefault="00000000" w:rsidRPr="00000000" w14:paraId="0000000F">
      <w:pPr>
        <w:jc w:val="both"/>
        <w:rPr>
          <w:rFonts w:ascii="Nunito" w:cs="Nunito" w:eastAsia="Nunito" w:hAnsi="Nunito"/>
          <w:color w:val="222222"/>
          <w:sz w:val="20"/>
          <w:szCs w:val="20"/>
        </w:rPr>
      </w:pPr>
      <w:r w:rsidDel="00000000" w:rsidR="00000000" w:rsidRPr="00000000">
        <w:rPr>
          <w:rtl w:val="0"/>
        </w:rPr>
      </w:r>
    </w:p>
    <w:p w:rsidR="00000000" w:rsidDel="00000000" w:rsidP="00000000" w:rsidRDefault="00000000" w:rsidRPr="00000000" w14:paraId="00000010">
      <w:pPr>
        <w:jc w:val="both"/>
        <w:rPr>
          <w:rFonts w:ascii="Nunito" w:cs="Nunito" w:eastAsia="Nunito" w:hAnsi="Nunito"/>
          <w:color w:val="222222"/>
          <w:sz w:val="20"/>
          <w:szCs w:val="20"/>
        </w:rPr>
      </w:pPr>
      <w:r w:rsidDel="00000000" w:rsidR="00000000" w:rsidRPr="00000000">
        <w:rPr>
          <w:rtl w:val="0"/>
        </w:rPr>
      </w:r>
    </w:p>
    <w:p w:rsidR="00000000" w:rsidDel="00000000" w:rsidP="00000000" w:rsidRDefault="00000000" w:rsidRPr="00000000" w14:paraId="00000011">
      <w:pPr>
        <w:jc w:val="both"/>
        <w:rPr>
          <w:rFonts w:ascii="Nunito" w:cs="Nunito" w:eastAsia="Nunito" w:hAnsi="Nunito"/>
          <w:color w:val="252525"/>
          <w:sz w:val="20"/>
          <w:szCs w:val="20"/>
        </w:rPr>
      </w:pPr>
      <w:r w:rsidDel="00000000" w:rsidR="00000000" w:rsidRPr="00000000">
        <w:rPr>
          <w:rFonts w:ascii="Nunito" w:cs="Nunito" w:eastAsia="Nunito" w:hAnsi="Nunito"/>
          <w:b w:val="1"/>
          <w:color w:val="222222"/>
          <w:sz w:val="20"/>
          <w:szCs w:val="20"/>
          <w:rtl w:val="0"/>
        </w:rPr>
        <w:t xml:space="preserve">Neeru Mehta</w:t>
      </w:r>
      <w:r w:rsidDel="00000000" w:rsidR="00000000" w:rsidRPr="00000000">
        <w:rPr>
          <w:rFonts w:ascii="Nunito" w:cs="Nunito" w:eastAsia="Nunito" w:hAnsi="Nunito"/>
          <w:color w:val="222222"/>
          <w:sz w:val="20"/>
          <w:szCs w:val="20"/>
          <w:rtl w:val="0"/>
        </w:rPr>
        <w:t xml:space="preserve"> is the Chief Human Resource Officer at Yellow.ai, </w:t>
      </w:r>
      <w:r w:rsidDel="00000000" w:rsidR="00000000" w:rsidRPr="00000000">
        <w:rPr>
          <w:rFonts w:ascii="Nunito" w:cs="Nunito" w:eastAsia="Nunito" w:hAnsi="Nunito"/>
          <w:color w:val="252525"/>
          <w:sz w:val="20"/>
          <w:szCs w:val="20"/>
          <w:rtl w:val="0"/>
        </w:rPr>
        <w:t xml:space="preserve">a global leader in generative AI-powered customer service automation.</w:t>
      </w:r>
    </w:p>
    <w:p w:rsidR="00000000" w:rsidDel="00000000" w:rsidP="00000000" w:rsidRDefault="00000000" w:rsidRPr="00000000" w14:paraId="00000012">
      <w:pPr>
        <w:jc w:val="both"/>
        <w:rPr>
          <w:rFonts w:ascii="Nunito" w:cs="Nunito" w:eastAsia="Nunito" w:hAnsi="Nunito"/>
          <w:color w:val="222222"/>
          <w:sz w:val="20"/>
          <w:szCs w:val="20"/>
        </w:rPr>
      </w:pPr>
      <w:r w:rsidDel="00000000" w:rsidR="00000000" w:rsidRPr="00000000">
        <w:rPr>
          <w:rtl w:val="0"/>
        </w:rPr>
      </w:r>
    </w:p>
    <w:p w:rsidR="00000000" w:rsidDel="00000000" w:rsidP="00000000" w:rsidRDefault="00000000" w:rsidRPr="00000000" w14:paraId="00000013">
      <w:pPr>
        <w:shd w:fill="ffffff" w:val="clear"/>
        <w:jc w:val="both"/>
        <w:rPr>
          <w:rFonts w:ascii="Nunito" w:cs="Nunito" w:eastAsia="Nunito" w:hAnsi="Nunito"/>
          <w:color w:val="222222"/>
          <w:sz w:val="20"/>
          <w:szCs w:val="20"/>
        </w:rPr>
      </w:pPr>
      <w:r w:rsidDel="00000000" w:rsidR="00000000" w:rsidRPr="00000000">
        <w:rPr>
          <w:rFonts w:ascii="Nunito" w:cs="Nunito" w:eastAsia="Nunito" w:hAnsi="Nunito"/>
          <w:color w:val="222222"/>
          <w:sz w:val="20"/>
          <w:szCs w:val="20"/>
          <w:rtl w:val="0"/>
        </w:rPr>
        <w:t xml:space="preserve">Neeru has 22+ years of corporate experience spanning across Leadership roles, HR Global COE Leader roles, M&amp;A and large scale transformations . In her last role, she was the Global Organization Effectiveness Leader at GlobalLogic, A Hitachi Group Company. She also led the APAC People organization in GlobalLogic for 5 years. Prior to that, she worked with Birlasoft as their Global Talent Management Leader for 2 years.  Before that she worked with HCL technologies for 12 years in diverse HR Leadership roles across their Technology and Business Services divisions. With Yellow.ai, the spectrum of business partnering has expanded to the world of SAAS with a huge focus on creating Next Gen People Practices and Success Paths for employees. </w:t>
      </w:r>
    </w:p>
    <w:p w:rsidR="00000000" w:rsidDel="00000000" w:rsidP="00000000" w:rsidRDefault="00000000" w:rsidRPr="00000000" w14:paraId="00000014">
      <w:pPr>
        <w:shd w:fill="ffffff" w:val="clear"/>
        <w:jc w:val="both"/>
        <w:rPr>
          <w:rFonts w:ascii="Nunito" w:cs="Nunito" w:eastAsia="Nunito" w:hAnsi="Nunito"/>
          <w:color w:val="222222"/>
          <w:sz w:val="20"/>
          <w:szCs w:val="20"/>
        </w:rPr>
      </w:pPr>
      <w:r w:rsidDel="00000000" w:rsidR="00000000" w:rsidRPr="00000000">
        <w:rPr>
          <w:rtl w:val="0"/>
        </w:rPr>
      </w:r>
    </w:p>
    <w:p w:rsidR="00000000" w:rsidDel="00000000" w:rsidP="00000000" w:rsidRDefault="00000000" w:rsidRPr="00000000" w14:paraId="00000015">
      <w:pPr>
        <w:shd w:fill="ffffff" w:val="clear"/>
        <w:jc w:val="both"/>
        <w:rPr>
          <w:rFonts w:ascii="Nunito" w:cs="Nunito" w:eastAsia="Nunito" w:hAnsi="Nunito"/>
          <w:color w:val="222222"/>
          <w:sz w:val="20"/>
          <w:szCs w:val="20"/>
        </w:rPr>
      </w:pPr>
      <w:r w:rsidDel="00000000" w:rsidR="00000000" w:rsidRPr="00000000">
        <w:rPr>
          <w:rFonts w:ascii="Nunito" w:cs="Nunito" w:eastAsia="Nunito" w:hAnsi="Nunito"/>
          <w:color w:val="222222"/>
          <w:sz w:val="20"/>
          <w:szCs w:val="20"/>
          <w:rtl w:val="0"/>
        </w:rPr>
        <w:t xml:space="preserve">She believes in stretching beyond traditional HR boundaries and has strived to position HR as a distinctive capability embedded throughout the organization. She is a lifelong learner and risk-taker, moved across functions ranging from Human resources, Consulting, Project Management. She has also played Hockey at National level and is passionate about team sports.</w:t>
      </w:r>
    </w:p>
    <w:p w:rsidR="00000000" w:rsidDel="00000000" w:rsidP="00000000" w:rsidRDefault="00000000" w:rsidRPr="00000000" w14:paraId="00000016">
      <w:pPr>
        <w:shd w:fill="ffffff" w:val="clear"/>
        <w:jc w:val="both"/>
        <w:rPr>
          <w:rFonts w:ascii="Nunito" w:cs="Nunito" w:eastAsia="Nunito" w:hAnsi="Nunito"/>
          <w:color w:val="222222"/>
          <w:sz w:val="20"/>
          <w:szCs w:val="20"/>
        </w:rPr>
      </w:pPr>
      <w:r w:rsidDel="00000000" w:rsidR="00000000" w:rsidRPr="00000000">
        <w:rPr>
          <w:rtl w:val="0"/>
        </w:rPr>
      </w:r>
    </w:p>
    <w:p w:rsidR="00000000" w:rsidDel="00000000" w:rsidP="00000000" w:rsidRDefault="00000000" w:rsidRPr="00000000" w14:paraId="00000017">
      <w:pPr>
        <w:shd w:fill="ffffff" w:val="clear"/>
        <w:jc w:val="both"/>
        <w:rPr>
          <w:rFonts w:ascii="Nunito" w:cs="Nunito" w:eastAsia="Nunito" w:hAnsi="Nunito"/>
          <w:sz w:val="20"/>
          <w:szCs w:val="20"/>
        </w:rPr>
      </w:pPr>
      <w:r w:rsidDel="00000000" w:rsidR="00000000" w:rsidRPr="00000000">
        <w:rPr>
          <w:rFonts w:ascii="Nunito" w:cs="Nunito" w:eastAsia="Nunito" w:hAnsi="Nunito"/>
          <w:color w:val="222222"/>
          <w:sz w:val="20"/>
          <w:szCs w:val="20"/>
          <w:rtl w:val="0"/>
        </w:rPr>
        <w:t xml:space="preserve">Neeru is also a certified Coach with a keen interest in Leadership and Transition Coaching. </w:t>
      </w:r>
      <w:r w:rsidDel="00000000" w:rsidR="00000000" w:rsidRPr="00000000">
        <w:rPr>
          <w:rtl w:val="0"/>
        </w:rPr>
      </w:r>
    </w:p>
    <w:p w:rsidR="00000000" w:rsidDel="00000000" w:rsidP="00000000" w:rsidRDefault="00000000" w:rsidRPr="00000000" w14:paraId="00000018">
      <w:pPr>
        <w:spacing w:after="240" w:before="240" w:lineRule="auto"/>
        <w:jc w:val="both"/>
        <w:rPr>
          <w:rFonts w:ascii="Nunito" w:cs="Nunito" w:eastAsia="Nunito" w:hAnsi="Nunito"/>
          <w:sz w:val="20"/>
          <w:szCs w:val="20"/>
        </w:rPr>
      </w:pPr>
      <w:r w:rsidDel="00000000" w:rsidR="00000000" w:rsidRPr="00000000">
        <w:rPr>
          <w:rFonts w:ascii="Nunito" w:cs="Nunito" w:eastAsia="Nunito" w:hAnsi="Nunito"/>
          <w:color w:val="252525"/>
          <w:sz w:val="20"/>
          <w:szCs w:val="20"/>
          <w:rtl w:val="0"/>
        </w:rPr>
        <w:t xml:space="preserve">For more inquiries, contact anujaa.singh@yellow.ai</w:t>
      </w: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ind w:left="720" w:firstLine="0"/>
      <w:jc w:val="right"/>
      <w:rPr/>
    </w:pPr>
    <w:r w:rsidDel="00000000" w:rsidR="00000000" w:rsidRPr="00000000">
      <w:rPr/>
      <w:drawing>
        <wp:inline distB="114300" distT="114300" distL="114300" distR="114300">
          <wp:extent cx="1404938" cy="585391"/>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04938" cy="585391"/>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spacing w:line="276" w:lineRule="auto"/>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d/mMU3M5OV8We1piIyw7C6c14g==">CgMxLjA4AHIhMXhSR3BfSFlQRF95ZDlSTjVTTWxOMzFEdWlfQzY5OHVf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